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BA" w:rsidRDefault="00F54BBA" w:rsidP="00F54BBA">
      <w:pPr>
        <w:pStyle w:val="Title"/>
      </w:pPr>
      <w:bookmarkStart w:id="0" w:name="_Toc350896243"/>
      <w:bookmarkStart w:id="1" w:name="_Toc351119602"/>
      <w:bookmarkStart w:id="2" w:name="_Toc362550177"/>
      <w:bookmarkStart w:id="3" w:name="_Toc369178837"/>
      <w:bookmarkStart w:id="4" w:name="References"/>
      <w:r>
        <w:t>Business Continuity References</w:t>
      </w:r>
      <w:bookmarkEnd w:id="0"/>
      <w:bookmarkEnd w:id="1"/>
      <w:bookmarkEnd w:id="2"/>
      <w:bookmarkEnd w:id="3"/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fldChar w:fldCharType="begin"/>
      </w:r>
      <w:r w:rsidRPr="00D4015A">
        <w:instrText xml:space="preserve"> BIBLIOGRAPHY  \l 1033 </w:instrText>
      </w:r>
      <w:r w:rsidRPr="00D4015A">
        <w:fldChar w:fldCharType="separate"/>
      </w:r>
      <w:r w:rsidRPr="00D4015A">
        <w:rPr>
          <w:noProof/>
        </w:rPr>
        <w:t xml:space="preserve">American Red Cross. (2013). </w:t>
      </w:r>
      <w:r w:rsidRPr="00D4015A">
        <w:rPr>
          <w:i/>
          <w:iCs/>
          <w:noProof/>
        </w:rPr>
        <w:t>American Red Cross Ready Rating</w:t>
      </w:r>
      <w:r w:rsidRPr="00D4015A">
        <w:rPr>
          <w:noProof/>
        </w:rPr>
        <w:t>. Retrieved from http://www.readyrating.org/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Beef Quality Assurance. (2009, June). </w:t>
      </w:r>
      <w:r w:rsidRPr="00D4015A">
        <w:rPr>
          <w:i/>
          <w:iCs/>
          <w:noProof/>
        </w:rPr>
        <w:t>Feedyard Assessment Assessor's Guide.</w:t>
      </w:r>
      <w:r w:rsidRPr="00D4015A">
        <w:rPr>
          <w:noProof/>
        </w:rPr>
        <w:t xml:space="preserve"> Retrieved from Beef Quality Assurance Program: http://www.bqa.org/CMDocs/bqa/Feedyard_Assessment_062209_Blank.pdf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Beef Quality Assurance Program. (2010). </w:t>
      </w:r>
      <w:r w:rsidRPr="00D4015A">
        <w:rPr>
          <w:i/>
          <w:iCs/>
          <w:noProof/>
        </w:rPr>
        <w:t>Beef Quality Assurance (BQA)</w:t>
      </w:r>
      <w:r w:rsidRPr="00D4015A">
        <w:rPr>
          <w:noProof/>
        </w:rPr>
        <w:t>. Retrieved from http://www.bqa.org/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Cattlemen's Beef Board. (2011). </w:t>
      </w:r>
      <w:r w:rsidRPr="00D4015A">
        <w:rPr>
          <w:i/>
          <w:iCs/>
          <w:noProof/>
        </w:rPr>
        <w:t>Cattlemen's Beef Promotion and Research Board</w:t>
      </w:r>
      <w:r w:rsidRPr="00D4015A">
        <w:rPr>
          <w:noProof/>
        </w:rPr>
        <w:t>. Retrieved from http://www.beefboard.org/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i/>
          <w:iCs/>
          <w:noProof/>
        </w:rPr>
        <w:t>Checklist for Risk Communication and Public Involvement Fact Sheets</w:t>
      </w:r>
      <w:r w:rsidRPr="00D4015A">
        <w:rPr>
          <w:noProof/>
        </w:rPr>
        <w:t>. (n.d.). Retrieved from US Air Force Air University : http://www.au.af.mil/au/awc/awcgate/army/risk_comm_factsheets.pdf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Consortium for Cattle Feeding and Environmental Services. (1999 - 2001). </w:t>
      </w:r>
      <w:r w:rsidRPr="00D4015A">
        <w:rPr>
          <w:i/>
          <w:iCs/>
          <w:noProof/>
        </w:rPr>
        <w:t>Production and Environmental Quality Model (wire diagram).</w:t>
      </w:r>
      <w:r w:rsidRPr="00D4015A">
        <w:rPr>
          <w:noProof/>
        </w:rPr>
        <w:t xml:space="preserve"> 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Diversified Risk Management, Inc. (2013). </w:t>
      </w:r>
      <w:r w:rsidRPr="00D4015A">
        <w:rPr>
          <w:i/>
          <w:iCs/>
          <w:noProof/>
        </w:rPr>
        <w:t>Bomb Threat Checklist</w:t>
      </w:r>
      <w:r w:rsidRPr="00D4015A">
        <w:rPr>
          <w:noProof/>
        </w:rPr>
        <w:t>. Retrieved from http://www.diversifiedriskmanagement.com/articles/bomb-threat-checklist.html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Ducharme, D. (n.d.). </w:t>
      </w:r>
      <w:r w:rsidRPr="00D4015A">
        <w:rPr>
          <w:i/>
          <w:iCs/>
          <w:noProof/>
        </w:rPr>
        <w:t>Crisis Communication Plan Template</w:t>
      </w:r>
      <w:r w:rsidRPr="00D4015A">
        <w:rPr>
          <w:noProof/>
        </w:rPr>
        <w:t>. Retrieved from Produce Crisis Management: http://producecrisismanagement.wordpress.com/training-materials/crisis-communication-plan-template/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Federal Emergency Management Agency (FEMA). (2005). </w:t>
      </w:r>
      <w:r w:rsidRPr="00D4015A">
        <w:rPr>
          <w:i/>
          <w:iCs/>
          <w:noProof/>
        </w:rPr>
        <w:t>A How-To Guide to Mitigate Potential Terrorist Attacks Against Buildings.</w:t>
      </w:r>
      <w:r w:rsidRPr="00D4015A">
        <w:rPr>
          <w:noProof/>
        </w:rPr>
        <w:t xml:space="preserve"> Retrieved from http://www.fema.gov/library/viewRecord.do?id=1938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Federal Emergency Management Agency (FEMA). (2012). </w:t>
      </w:r>
      <w:r w:rsidRPr="00D4015A">
        <w:rPr>
          <w:i/>
          <w:iCs/>
          <w:noProof/>
        </w:rPr>
        <w:t>FEMA Ready - Business: Performance Objectives</w:t>
      </w:r>
      <w:r w:rsidRPr="00D4015A">
        <w:rPr>
          <w:noProof/>
        </w:rPr>
        <w:t>. Retrieved from http://www.ready.gov/performance-objectives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Federal Emergency Management Agency (FEMA). (2012). </w:t>
      </w:r>
      <w:r w:rsidRPr="00D4015A">
        <w:rPr>
          <w:i/>
          <w:iCs/>
          <w:noProof/>
        </w:rPr>
        <w:t>FEMA Ready Business Continuity Plan</w:t>
      </w:r>
      <w:r w:rsidRPr="00D4015A">
        <w:rPr>
          <w:noProof/>
        </w:rPr>
        <w:t>. Retrieved from http://www.ready.gov/business-continuity-planning-suite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Federal Emergency Management Agency (FEMA). (2012). </w:t>
      </w:r>
      <w:r w:rsidRPr="00D4015A">
        <w:rPr>
          <w:i/>
          <w:iCs/>
          <w:noProof/>
        </w:rPr>
        <w:t>Frequently Asked Questions - Threat &amp; Hazard Identification and Risk Assessment (THIRA).</w:t>
      </w:r>
      <w:r w:rsidRPr="00D4015A">
        <w:rPr>
          <w:noProof/>
        </w:rPr>
        <w:t xml:space="preserve"> Retrieved from http://www.fema.gov/library/viewRecord.do?id=6198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Federal Emergency Management Agency (FEMA). (2013). </w:t>
      </w:r>
      <w:r w:rsidRPr="00D4015A">
        <w:rPr>
          <w:i/>
          <w:iCs/>
          <w:noProof/>
        </w:rPr>
        <w:t>FEMA Ready - Business: Emergency Response Requirements</w:t>
      </w:r>
      <w:r w:rsidRPr="00D4015A">
        <w:rPr>
          <w:noProof/>
        </w:rPr>
        <w:t>. Retrieved from http://www.ready.gov/business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Federal Emergency Management Agency (FEMA). (n.d.). </w:t>
      </w:r>
      <w:r w:rsidRPr="00D4015A">
        <w:rPr>
          <w:i/>
          <w:iCs/>
          <w:noProof/>
        </w:rPr>
        <w:t>Comprehensive Preparedness Guide 201: Threat and Hazard Identification and Risk Assessment Guide.</w:t>
      </w:r>
      <w:r w:rsidRPr="00D4015A">
        <w:rPr>
          <w:noProof/>
        </w:rPr>
        <w:t xml:space="preserve"> Retrieved from http://www.fema.gov/library/viewRecord.do?id=5823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Insurance Institute for Business and Home Safety. (2012). </w:t>
      </w:r>
      <w:r w:rsidRPr="00D4015A">
        <w:rPr>
          <w:i/>
          <w:iCs/>
          <w:noProof/>
        </w:rPr>
        <w:t>Disaster Safety</w:t>
      </w:r>
      <w:r w:rsidRPr="00D4015A">
        <w:rPr>
          <w:noProof/>
        </w:rPr>
        <w:t>. Retrieved from http://www.disastersafety.org/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Protective Security Coordination Division Office of Infrastructure Protection U.S. Department of Homeland Security. (2011, May). </w:t>
      </w:r>
      <w:r w:rsidRPr="00D4015A">
        <w:rPr>
          <w:i/>
          <w:iCs/>
          <w:noProof/>
        </w:rPr>
        <w:t>Texas Cattle Feeder Industry Resiliency Assessment.</w:t>
      </w:r>
      <w:r w:rsidRPr="00D4015A">
        <w:rPr>
          <w:noProof/>
        </w:rPr>
        <w:t xml:space="preserve"> U.S. Department of Homeland Security.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lastRenderedPageBreak/>
        <w:t xml:space="preserve">Rutherford, B. (2012, September 20). Feedyard Emergency Preparedness: Are You Ready? </w:t>
      </w:r>
      <w:r w:rsidRPr="00D4015A">
        <w:rPr>
          <w:i/>
          <w:iCs/>
          <w:noProof/>
        </w:rPr>
        <w:t>Beef Magazine</w:t>
      </w:r>
      <w:r w:rsidRPr="00D4015A">
        <w:rPr>
          <w:noProof/>
        </w:rPr>
        <w:t>, 1.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>TF1, T. 2. (2013). (J. M. Wayne Einfeld, Interviewer)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The Center for Biopreparedness Education. (n.d.). </w:t>
      </w:r>
      <w:r w:rsidRPr="00D4015A">
        <w:rPr>
          <w:i/>
          <w:iCs/>
          <w:noProof/>
        </w:rPr>
        <w:t>Crisis Communication Planning Workbook</w:t>
      </w:r>
      <w:r w:rsidRPr="00D4015A">
        <w:rPr>
          <w:noProof/>
        </w:rPr>
        <w:t>. Retrieved from http://www.preped.org/resources/crisiscommunication-workbook.pdf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U.S. Department of Homeland Security. (2008, October). </w:t>
      </w:r>
      <w:r w:rsidRPr="00D4015A">
        <w:rPr>
          <w:i/>
          <w:iCs/>
          <w:noProof/>
        </w:rPr>
        <w:t>Active Shooter How to Respond.</w:t>
      </w:r>
      <w:r w:rsidRPr="00D4015A">
        <w:rPr>
          <w:noProof/>
        </w:rPr>
        <w:t xml:space="preserve"> Retrieved from http://www.dhs.gov/xlibrary/assets/active_shooter_booklet.pdf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>U.S. Department of Homeland Security. (2012, April). Threat and Hazard Identification and Risk Assessment Guide (THIRA) Comprehensive Preparedness Guide (CPG) 201. Retrieved from http://www.state.nj.us/njhomelandsecurity/grants/grants-main/06-21-12-thira-guide.pdf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U.S. Department of Homeland Security. (n.d.). </w:t>
      </w:r>
      <w:r w:rsidRPr="00D4015A">
        <w:rPr>
          <w:i/>
          <w:iCs/>
          <w:noProof/>
        </w:rPr>
        <w:t>Regional Resiliency Assessment Program</w:t>
      </w:r>
      <w:r w:rsidRPr="00D4015A">
        <w:rPr>
          <w:noProof/>
        </w:rPr>
        <w:t>. Retrieved from https://www.dhs.gov/regional-resiliency-assessment-program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U.S. Food and Drug Administration. (2013, March 27). </w:t>
      </w:r>
      <w:r w:rsidRPr="00D4015A">
        <w:rPr>
          <w:i/>
          <w:iCs/>
          <w:noProof/>
        </w:rPr>
        <w:t>Strategic Partnership Program Agroterrorism (SPPA) Initiative Second Year Status Report July 2006 - September 2007.</w:t>
      </w:r>
      <w:r w:rsidRPr="00D4015A">
        <w:rPr>
          <w:noProof/>
        </w:rPr>
        <w:t xml:space="preserve"> Retrieved from http://www.fda.gov/downloads/Food/FoodDefense/FoodDefensePrograms/ucm081014.pdf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U.S. Small Business Administration. (n.d.). </w:t>
      </w:r>
      <w:r w:rsidRPr="00D4015A">
        <w:rPr>
          <w:i/>
          <w:iCs/>
          <w:noProof/>
        </w:rPr>
        <w:t>SBA.GOV</w:t>
      </w:r>
      <w:r w:rsidRPr="00D4015A">
        <w:rPr>
          <w:noProof/>
        </w:rPr>
        <w:t>. Retrieved from http://www.sba.gov/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United States Department of Agriculture Animal and Plant Health Inspection Service. (2011). </w:t>
      </w:r>
      <w:r w:rsidRPr="00D4015A">
        <w:rPr>
          <w:i/>
          <w:iCs/>
          <w:noProof/>
        </w:rPr>
        <w:t>Foreign Animal Disease Preparedness &amp; Response Plan (FAD PReP) National Animal Health Emergency Management System (NAHEMS) Beef Feedlot Industry Manual.</w:t>
      </w:r>
      <w:r w:rsidRPr="00D4015A">
        <w:rPr>
          <w:noProof/>
        </w:rPr>
        <w:t xml:space="preserve"> Riverdale: National Center for Animal Health Emergency Management.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United States Department of Agriculture Animal and Plant Health Inspection Service Veterinary Services. (2011, January). </w:t>
      </w:r>
      <w:r w:rsidRPr="00D4015A">
        <w:rPr>
          <w:i/>
          <w:iCs/>
          <w:noProof/>
        </w:rPr>
        <w:t>Foreign Animal Disease Preparedness &amp; Response Plan (FAD PReP) Introducing FAD PReP The Public, Private, Academic Partnership.</w:t>
      </w:r>
      <w:r w:rsidRPr="00D4015A">
        <w:rPr>
          <w:noProof/>
        </w:rPr>
        <w:t xml:space="preserve"> Retrieved from http://www.aphis.usda.gov/animal_health/acah/downloads/documents/Introducing_FAD_PReP.pdf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United States Department of Agriculture Animal and Plant Health Inspection Service Veterinary Services. (2012). </w:t>
      </w:r>
      <w:r w:rsidRPr="00D4015A">
        <w:rPr>
          <w:i/>
          <w:iCs/>
          <w:noProof/>
        </w:rPr>
        <w:t>Foreign Animal Disease Preparedness &amp; Response Plan (FAD PReP) Foot-and-Mouth Disease Response Plan The Red Book.</w:t>
      </w:r>
      <w:r w:rsidRPr="00D4015A">
        <w:rPr>
          <w:noProof/>
        </w:rPr>
        <w:t xml:space="preserve"> Riverdale: National Center for Animal Health Emergency Management.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United States Department of Agriculture Animal and Plant Health Inspection Service Veterinary Services. (2012). </w:t>
      </w:r>
      <w:r w:rsidRPr="00D4015A">
        <w:rPr>
          <w:i/>
          <w:iCs/>
          <w:noProof/>
        </w:rPr>
        <w:t>Foreign Animal Disease Preparedness &amp; Response Plan (FAD PReP) National Animal Health Emergency Management System (NAHEMS) NAHEMS Guidelines: Continuity of Business.</w:t>
      </w:r>
      <w:r w:rsidRPr="00D4015A">
        <w:rPr>
          <w:noProof/>
        </w:rPr>
        <w:t xml:space="preserve"> Riverdale: National Center for Animal Health Emergency Management.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United States Department of Agriculture APHIS Veterinary Services. (2007, February). </w:t>
      </w:r>
      <w:r w:rsidRPr="00D4015A">
        <w:rPr>
          <w:i/>
          <w:iCs/>
          <w:noProof/>
        </w:rPr>
        <w:t>Foot and Mouth Disease Factsheet.</w:t>
      </w:r>
      <w:r w:rsidRPr="00D4015A">
        <w:rPr>
          <w:noProof/>
        </w:rPr>
        <w:t xml:space="preserve"> Retrieved from http://www.tahc.state.tx.us/news/brochures/USDABrochure_FMD.pdf</w:t>
      </w:r>
    </w:p>
    <w:p w:rsidR="00F54BBA" w:rsidRPr="00D4015A" w:rsidRDefault="00F54BBA" w:rsidP="00D4015A">
      <w:pPr>
        <w:pStyle w:val="Bibliography"/>
        <w:numPr>
          <w:ilvl w:val="0"/>
          <w:numId w:val="2"/>
        </w:numPr>
        <w:rPr>
          <w:noProof/>
        </w:rPr>
      </w:pPr>
      <w:r w:rsidRPr="00D4015A">
        <w:rPr>
          <w:noProof/>
        </w:rPr>
        <w:t xml:space="preserve">USDA APHIS Veterinary Services. (2007, February). </w:t>
      </w:r>
      <w:r w:rsidRPr="00D4015A">
        <w:rPr>
          <w:i/>
          <w:iCs/>
          <w:noProof/>
        </w:rPr>
        <w:t>Foot and Mouth Disease Factsheet.</w:t>
      </w:r>
      <w:r w:rsidRPr="00D4015A">
        <w:rPr>
          <w:noProof/>
        </w:rPr>
        <w:t xml:space="preserve"> Retrieved July 2012, from </w:t>
      </w:r>
      <w:r w:rsidRPr="00D4015A">
        <w:rPr>
          <w:noProof/>
        </w:rPr>
        <w:lastRenderedPageBreak/>
        <w:t>http://www.aphis.usda.gov/publications/animal_health/content/printable_version/fs_foot_mouth_disease07.pdf</w:t>
      </w:r>
    </w:p>
    <w:p w:rsidR="00216211" w:rsidRDefault="00F54BBA" w:rsidP="00F54BBA">
      <w:r w:rsidRPr="00D4015A">
        <w:fldChar w:fldCharType="end"/>
      </w:r>
      <w:bookmarkStart w:id="5" w:name="_GoBack"/>
      <w:bookmarkEnd w:id="4"/>
      <w:bookmarkEnd w:id="5"/>
    </w:p>
    <w:sectPr w:rsidR="00216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ED0"/>
    <w:multiLevelType w:val="hybridMultilevel"/>
    <w:tmpl w:val="EDCAF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8502D"/>
    <w:multiLevelType w:val="hybridMultilevel"/>
    <w:tmpl w:val="4800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BA"/>
    <w:rsid w:val="00005A75"/>
    <w:rsid w:val="0001286F"/>
    <w:rsid w:val="0002184A"/>
    <w:rsid w:val="00026C10"/>
    <w:rsid w:val="0003342A"/>
    <w:rsid w:val="00034B60"/>
    <w:rsid w:val="00037C10"/>
    <w:rsid w:val="00066659"/>
    <w:rsid w:val="00066A80"/>
    <w:rsid w:val="000B412C"/>
    <w:rsid w:val="000C185E"/>
    <w:rsid w:val="000C2B16"/>
    <w:rsid w:val="000E038C"/>
    <w:rsid w:val="000E206E"/>
    <w:rsid w:val="000E3A41"/>
    <w:rsid w:val="0011189A"/>
    <w:rsid w:val="001400CD"/>
    <w:rsid w:val="00172B78"/>
    <w:rsid w:val="001A3406"/>
    <w:rsid w:val="001C50A3"/>
    <w:rsid w:val="001C6BD7"/>
    <w:rsid w:val="001C7A13"/>
    <w:rsid w:val="001D10F9"/>
    <w:rsid w:val="001F258E"/>
    <w:rsid w:val="00234B62"/>
    <w:rsid w:val="00243230"/>
    <w:rsid w:val="00255525"/>
    <w:rsid w:val="002802E3"/>
    <w:rsid w:val="00287040"/>
    <w:rsid w:val="00296F05"/>
    <w:rsid w:val="002A5A3B"/>
    <w:rsid w:val="002B10A6"/>
    <w:rsid w:val="002B2529"/>
    <w:rsid w:val="002B5CFF"/>
    <w:rsid w:val="002C1D64"/>
    <w:rsid w:val="002E7D87"/>
    <w:rsid w:val="00320454"/>
    <w:rsid w:val="00343FB3"/>
    <w:rsid w:val="0035681C"/>
    <w:rsid w:val="00357D4F"/>
    <w:rsid w:val="00372688"/>
    <w:rsid w:val="00386E48"/>
    <w:rsid w:val="003C1D0D"/>
    <w:rsid w:val="003C2A54"/>
    <w:rsid w:val="003C2B2E"/>
    <w:rsid w:val="003C4640"/>
    <w:rsid w:val="003D1728"/>
    <w:rsid w:val="003D6607"/>
    <w:rsid w:val="003E549E"/>
    <w:rsid w:val="003F25F4"/>
    <w:rsid w:val="00482785"/>
    <w:rsid w:val="004A4449"/>
    <w:rsid w:val="004B372E"/>
    <w:rsid w:val="004B3E6F"/>
    <w:rsid w:val="004B669D"/>
    <w:rsid w:val="004C1826"/>
    <w:rsid w:val="004C5023"/>
    <w:rsid w:val="004D155A"/>
    <w:rsid w:val="004D7948"/>
    <w:rsid w:val="0050287C"/>
    <w:rsid w:val="00502ECE"/>
    <w:rsid w:val="00504118"/>
    <w:rsid w:val="00506244"/>
    <w:rsid w:val="0051026F"/>
    <w:rsid w:val="005104BA"/>
    <w:rsid w:val="00512989"/>
    <w:rsid w:val="00520468"/>
    <w:rsid w:val="00521F27"/>
    <w:rsid w:val="0053747B"/>
    <w:rsid w:val="0054724E"/>
    <w:rsid w:val="00572D47"/>
    <w:rsid w:val="0057375D"/>
    <w:rsid w:val="00577BE6"/>
    <w:rsid w:val="005B038A"/>
    <w:rsid w:val="005B6F80"/>
    <w:rsid w:val="005C0C12"/>
    <w:rsid w:val="005C70D8"/>
    <w:rsid w:val="0060137B"/>
    <w:rsid w:val="006112F3"/>
    <w:rsid w:val="00615026"/>
    <w:rsid w:val="00615B37"/>
    <w:rsid w:val="006262CB"/>
    <w:rsid w:val="00626646"/>
    <w:rsid w:val="006316E6"/>
    <w:rsid w:val="00646998"/>
    <w:rsid w:val="00655FEA"/>
    <w:rsid w:val="0067336A"/>
    <w:rsid w:val="006967CF"/>
    <w:rsid w:val="006B42DD"/>
    <w:rsid w:val="006D12DD"/>
    <w:rsid w:val="006D37C7"/>
    <w:rsid w:val="006D6E17"/>
    <w:rsid w:val="006F0DB8"/>
    <w:rsid w:val="0070190F"/>
    <w:rsid w:val="007025A3"/>
    <w:rsid w:val="007062C2"/>
    <w:rsid w:val="00733367"/>
    <w:rsid w:val="007454D0"/>
    <w:rsid w:val="007457BB"/>
    <w:rsid w:val="00754332"/>
    <w:rsid w:val="0075586A"/>
    <w:rsid w:val="00770B86"/>
    <w:rsid w:val="007948B7"/>
    <w:rsid w:val="007A1620"/>
    <w:rsid w:val="007A1CB8"/>
    <w:rsid w:val="007B4FE4"/>
    <w:rsid w:val="007F4DCA"/>
    <w:rsid w:val="00844443"/>
    <w:rsid w:val="00846C75"/>
    <w:rsid w:val="00854A3C"/>
    <w:rsid w:val="0086046B"/>
    <w:rsid w:val="0086296E"/>
    <w:rsid w:val="00871C1D"/>
    <w:rsid w:val="00891052"/>
    <w:rsid w:val="008A698B"/>
    <w:rsid w:val="008B6D6C"/>
    <w:rsid w:val="008E0A00"/>
    <w:rsid w:val="008E7E52"/>
    <w:rsid w:val="008F3B00"/>
    <w:rsid w:val="008F3C53"/>
    <w:rsid w:val="0092617D"/>
    <w:rsid w:val="00952C46"/>
    <w:rsid w:val="00972281"/>
    <w:rsid w:val="009806A1"/>
    <w:rsid w:val="00984ED1"/>
    <w:rsid w:val="0099420E"/>
    <w:rsid w:val="009A39A6"/>
    <w:rsid w:val="009A47FA"/>
    <w:rsid w:val="009B02E9"/>
    <w:rsid w:val="009C4E4E"/>
    <w:rsid w:val="009D3E33"/>
    <w:rsid w:val="009D47D2"/>
    <w:rsid w:val="009D61A8"/>
    <w:rsid w:val="009D7CED"/>
    <w:rsid w:val="009F42C8"/>
    <w:rsid w:val="00A15578"/>
    <w:rsid w:val="00A222E6"/>
    <w:rsid w:val="00A3487A"/>
    <w:rsid w:val="00A473D7"/>
    <w:rsid w:val="00A82D42"/>
    <w:rsid w:val="00A8380D"/>
    <w:rsid w:val="00A842DB"/>
    <w:rsid w:val="00A91A5D"/>
    <w:rsid w:val="00A93FDE"/>
    <w:rsid w:val="00A971C4"/>
    <w:rsid w:val="00AA532B"/>
    <w:rsid w:val="00AC5E49"/>
    <w:rsid w:val="00AF1DBE"/>
    <w:rsid w:val="00B02EF0"/>
    <w:rsid w:val="00B07C5F"/>
    <w:rsid w:val="00B2645C"/>
    <w:rsid w:val="00B46F36"/>
    <w:rsid w:val="00B518E5"/>
    <w:rsid w:val="00B65262"/>
    <w:rsid w:val="00B86888"/>
    <w:rsid w:val="00B921C4"/>
    <w:rsid w:val="00BC280E"/>
    <w:rsid w:val="00C01931"/>
    <w:rsid w:val="00C253E6"/>
    <w:rsid w:val="00C36518"/>
    <w:rsid w:val="00C36D2C"/>
    <w:rsid w:val="00C50276"/>
    <w:rsid w:val="00C5059F"/>
    <w:rsid w:val="00C67963"/>
    <w:rsid w:val="00C67E3D"/>
    <w:rsid w:val="00C75C34"/>
    <w:rsid w:val="00C90B56"/>
    <w:rsid w:val="00CC041F"/>
    <w:rsid w:val="00CD156C"/>
    <w:rsid w:val="00CD72BF"/>
    <w:rsid w:val="00D121D2"/>
    <w:rsid w:val="00D4015A"/>
    <w:rsid w:val="00D51902"/>
    <w:rsid w:val="00D53D1B"/>
    <w:rsid w:val="00D54280"/>
    <w:rsid w:val="00D57CA7"/>
    <w:rsid w:val="00D75D03"/>
    <w:rsid w:val="00D9227B"/>
    <w:rsid w:val="00DA3666"/>
    <w:rsid w:val="00DA4DCE"/>
    <w:rsid w:val="00DA5931"/>
    <w:rsid w:val="00DB37D2"/>
    <w:rsid w:val="00DB49D8"/>
    <w:rsid w:val="00DB74F6"/>
    <w:rsid w:val="00DC4DC3"/>
    <w:rsid w:val="00DD3459"/>
    <w:rsid w:val="00DD5174"/>
    <w:rsid w:val="00DD5DF1"/>
    <w:rsid w:val="00DF3B88"/>
    <w:rsid w:val="00E12F00"/>
    <w:rsid w:val="00E134E8"/>
    <w:rsid w:val="00E168E7"/>
    <w:rsid w:val="00E57AF2"/>
    <w:rsid w:val="00E7161C"/>
    <w:rsid w:val="00E74017"/>
    <w:rsid w:val="00E807FB"/>
    <w:rsid w:val="00E85649"/>
    <w:rsid w:val="00EE11ED"/>
    <w:rsid w:val="00EF279F"/>
    <w:rsid w:val="00EF6E02"/>
    <w:rsid w:val="00F22667"/>
    <w:rsid w:val="00F4012F"/>
    <w:rsid w:val="00F54BBA"/>
    <w:rsid w:val="00F55477"/>
    <w:rsid w:val="00F602A7"/>
    <w:rsid w:val="00F61909"/>
    <w:rsid w:val="00F736C1"/>
    <w:rsid w:val="00F94C19"/>
    <w:rsid w:val="00F9695B"/>
    <w:rsid w:val="00FB11A0"/>
    <w:rsid w:val="00FC1418"/>
    <w:rsid w:val="00FE4A3A"/>
    <w:rsid w:val="00FE5292"/>
    <w:rsid w:val="00FF64FC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BA"/>
    <w:pPr>
      <w:spacing w:after="8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nnex Title"/>
    <w:basedOn w:val="Heading1"/>
    <w:next w:val="Normal"/>
    <w:link w:val="TitleChar"/>
    <w:autoRedefine/>
    <w:uiPriority w:val="10"/>
    <w:qFormat/>
    <w:rsid w:val="00F54BBA"/>
    <w:pPr>
      <w:pBdr>
        <w:bottom w:val="single" w:sz="12" w:space="1" w:color="auto"/>
      </w:pBdr>
      <w:spacing w:after="300"/>
      <w:contextualSpacing/>
      <w:jc w:val="left"/>
    </w:pPr>
    <w:rPr>
      <w:rFonts w:ascii="Cambria" w:hAnsi="Cambria"/>
      <w:b w:val="0"/>
      <w:color w:val="0D3F0D"/>
      <w:spacing w:val="5"/>
      <w:kern w:val="28"/>
      <w:sz w:val="56"/>
      <w:szCs w:val="52"/>
    </w:rPr>
  </w:style>
  <w:style w:type="character" w:customStyle="1" w:styleId="TitleChar">
    <w:name w:val="Title Char"/>
    <w:aliases w:val="Annex Title Char"/>
    <w:basedOn w:val="DefaultParagraphFont"/>
    <w:link w:val="Title"/>
    <w:uiPriority w:val="10"/>
    <w:rsid w:val="00F54BBA"/>
    <w:rPr>
      <w:rFonts w:ascii="Cambria" w:eastAsiaTheme="majorEastAsia" w:hAnsi="Cambria" w:cstheme="majorBidi"/>
      <w:bCs/>
      <w:color w:val="0D3F0D"/>
      <w:spacing w:val="5"/>
      <w:kern w:val="28"/>
      <w:sz w:val="56"/>
      <w:szCs w:val="52"/>
    </w:rPr>
  </w:style>
  <w:style w:type="paragraph" w:styleId="Bibliography">
    <w:name w:val="Bibliography"/>
    <w:basedOn w:val="Normal"/>
    <w:next w:val="Normal"/>
    <w:uiPriority w:val="37"/>
    <w:unhideWhenUsed/>
    <w:rsid w:val="00F54BBA"/>
  </w:style>
  <w:style w:type="character" w:customStyle="1" w:styleId="Heading1Char">
    <w:name w:val="Heading 1 Char"/>
    <w:basedOn w:val="DefaultParagraphFont"/>
    <w:link w:val="Heading1"/>
    <w:uiPriority w:val="9"/>
    <w:rsid w:val="00F5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BA"/>
    <w:pPr>
      <w:spacing w:after="8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nnex Title"/>
    <w:basedOn w:val="Heading1"/>
    <w:next w:val="Normal"/>
    <w:link w:val="TitleChar"/>
    <w:autoRedefine/>
    <w:uiPriority w:val="10"/>
    <w:qFormat/>
    <w:rsid w:val="00F54BBA"/>
    <w:pPr>
      <w:pBdr>
        <w:bottom w:val="single" w:sz="12" w:space="1" w:color="auto"/>
      </w:pBdr>
      <w:spacing w:after="300"/>
      <w:contextualSpacing/>
      <w:jc w:val="left"/>
    </w:pPr>
    <w:rPr>
      <w:rFonts w:ascii="Cambria" w:hAnsi="Cambria"/>
      <w:b w:val="0"/>
      <w:color w:val="0D3F0D"/>
      <w:spacing w:val="5"/>
      <w:kern w:val="28"/>
      <w:sz w:val="56"/>
      <w:szCs w:val="52"/>
    </w:rPr>
  </w:style>
  <w:style w:type="character" w:customStyle="1" w:styleId="TitleChar">
    <w:name w:val="Title Char"/>
    <w:aliases w:val="Annex Title Char"/>
    <w:basedOn w:val="DefaultParagraphFont"/>
    <w:link w:val="Title"/>
    <w:uiPriority w:val="10"/>
    <w:rsid w:val="00F54BBA"/>
    <w:rPr>
      <w:rFonts w:ascii="Cambria" w:eastAsiaTheme="majorEastAsia" w:hAnsi="Cambria" w:cstheme="majorBidi"/>
      <w:bCs/>
      <w:color w:val="0D3F0D"/>
      <w:spacing w:val="5"/>
      <w:kern w:val="28"/>
      <w:sz w:val="56"/>
      <w:szCs w:val="52"/>
    </w:rPr>
  </w:style>
  <w:style w:type="paragraph" w:styleId="Bibliography">
    <w:name w:val="Bibliography"/>
    <w:basedOn w:val="Normal"/>
    <w:next w:val="Normal"/>
    <w:uiPriority w:val="37"/>
    <w:unhideWhenUsed/>
    <w:rsid w:val="00F54BBA"/>
  </w:style>
  <w:style w:type="character" w:customStyle="1" w:styleId="Heading1Char">
    <w:name w:val="Heading 1 Char"/>
    <w:basedOn w:val="DefaultParagraphFont"/>
    <w:link w:val="Heading1"/>
    <w:uiPriority w:val="9"/>
    <w:rsid w:val="00F5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Cubic Corporation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Tyler, Stacey</dc:creator>
  <cp:lastModifiedBy>Groves, Kevin</cp:lastModifiedBy>
  <cp:revision>2</cp:revision>
  <dcterms:created xsi:type="dcterms:W3CDTF">2013-11-23T00:07:00Z</dcterms:created>
  <dcterms:modified xsi:type="dcterms:W3CDTF">2013-11-23T00:07:00Z</dcterms:modified>
</cp:coreProperties>
</file>